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526" w:rsidRDefault="00254526" w:rsidP="002545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361744732"/>
      <w:r>
        <w:rPr>
          <w:rFonts w:ascii="Times New Roman" w:hAnsi="Times New Roman" w:cs="Times New Roman"/>
          <w:sz w:val="28"/>
          <w:szCs w:val="28"/>
          <w:lang w:val="x-none"/>
        </w:rPr>
        <w:t xml:space="preserve">На конфигурации для АСП Росфиннадзора </w:t>
      </w:r>
      <w:r w:rsidR="00D9044C">
        <w:rPr>
          <w:rFonts w:ascii="Times New Roman" w:hAnsi="Times New Roman" w:cs="Times New Roman"/>
          <w:sz w:val="28"/>
          <w:szCs w:val="28"/>
        </w:rPr>
        <w:t xml:space="preserve">откорректированы параметры </w:t>
      </w:r>
      <w:r w:rsidR="00D9044C">
        <w:rPr>
          <w:rFonts w:ascii="Times New Roman" w:hAnsi="Times New Roman" w:cs="Times New Roman"/>
          <w:sz w:val="28"/>
          <w:szCs w:val="28"/>
          <w:lang w:val="x-none"/>
        </w:rPr>
        <w:t>отчет</w:t>
      </w:r>
      <w:r w:rsidR="00D9044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согласно </w:t>
      </w:r>
      <w:r w:rsidR="00301A18">
        <w:rPr>
          <w:rFonts w:ascii="Times New Roman" w:hAnsi="Times New Roman" w:cs="Times New Roman"/>
          <w:sz w:val="28"/>
          <w:szCs w:val="28"/>
        </w:rPr>
        <w:t>письму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Федеральной службы финансово-бюджетного надзора №</w:t>
      </w:r>
      <w:r w:rsidR="00301A18">
        <w:rPr>
          <w:rFonts w:ascii="Times New Roman" w:hAnsi="Times New Roman" w:cs="Times New Roman"/>
          <w:sz w:val="28"/>
          <w:szCs w:val="28"/>
        </w:rPr>
        <w:t>04-00-10/1013</w:t>
      </w:r>
      <w:r w:rsidR="00301A18" w:rsidRPr="00301A18">
        <w:rPr>
          <w:rFonts w:ascii="Times New Roman" w:hAnsi="Times New Roman" w:cs="Times New Roman"/>
          <w:sz w:val="28"/>
          <w:szCs w:val="28"/>
          <w:lang w:val="x-none"/>
        </w:rPr>
        <w:t>@-ту от 10.04.2015</w:t>
      </w:r>
      <w:r>
        <w:rPr>
          <w:rFonts w:ascii="Times New Roman" w:hAnsi="Times New Roman" w:cs="Times New Roman"/>
          <w:sz w:val="28"/>
          <w:szCs w:val="28"/>
          <w:lang w:val="x-none"/>
        </w:rPr>
        <w:t>г</w:t>
      </w:r>
      <w:r>
        <w:rPr>
          <w:rFonts w:ascii="Times New Roman" w:hAnsi="Times New Roman" w:cs="Times New Roman"/>
          <w:sz w:val="28"/>
          <w:szCs w:val="28"/>
        </w:rPr>
        <w:t>.:</w:t>
      </w:r>
    </w:p>
    <w:bookmarkEnd w:id="0"/>
    <w:p w:rsidR="00B02FC5" w:rsidRPr="002F2F7A" w:rsidRDefault="00A70673" w:rsidP="00A70673">
      <w:pPr>
        <w:pStyle w:val="3"/>
        <w:spacing w:after="200" w:line="36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Аналитическая записка</w:t>
      </w:r>
    </w:p>
    <w:p w:rsidR="00F505E9" w:rsidRDefault="00A70673" w:rsidP="00301A18">
      <w:pPr>
        <w:pStyle w:val="a6"/>
        <w:spacing w:before="0" w:beforeAutospacing="0" w:after="0" w:afterAutospacing="0" w:line="360" w:lineRule="auto"/>
        <w:jc w:val="both"/>
      </w:pPr>
      <w:r>
        <w:rPr>
          <w:noProof/>
          <w:lang w:eastAsia="ko-KR"/>
        </w:rPr>
        <w:drawing>
          <wp:inline distT="0" distB="0" distL="0" distR="0">
            <wp:extent cx="5940425" cy="35667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EF4" w:rsidRPr="00682BA9" w:rsidRDefault="00301A18" w:rsidP="00682BA9">
      <w:pPr>
        <w:pStyle w:val="a6"/>
        <w:spacing w:line="360" w:lineRule="auto"/>
        <w:jc w:val="both"/>
      </w:pPr>
      <w:r>
        <w:t>П</w:t>
      </w:r>
      <w:r w:rsidR="00271EF4" w:rsidRPr="00682BA9">
        <w:t xml:space="preserve">араметры </w:t>
      </w:r>
      <w:r w:rsidR="00271EF4" w:rsidRPr="00682BA9">
        <w:rPr>
          <w:b/>
          <w:bCs/>
        </w:rPr>
        <w:t>Период</w:t>
      </w:r>
      <w:r w:rsidR="00271EF4" w:rsidRPr="00682BA9">
        <w:t xml:space="preserve"> позволяют отобрать данные только по тем КМ, период проведения которых входит в указанный.</w:t>
      </w:r>
    </w:p>
    <w:p w:rsidR="00271EF4" w:rsidRPr="00682BA9" w:rsidRDefault="00271EF4" w:rsidP="00682BA9">
      <w:pPr>
        <w:pStyle w:val="a6"/>
        <w:spacing w:line="360" w:lineRule="auto"/>
        <w:jc w:val="both"/>
      </w:pPr>
      <w:r w:rsidRPr="00682BA9">
        <w:t xml:space="preserve">Параметры </w:t>
      </w:r>
      <w:r w:rsidRPr="00682BA9">
        <w:rPr>
          <w:b/>
          <w:bCs/>
        </w:rPr>
        <w:t xml:space="preserve">Дата мероприятия </w:t>
      </w:r>
      <w:r w:rsidRPr="00682BA9">
        <w:t>позволяют отобрать данные только по тем КМ, дата которых входит в указанный.</w:t>
      </w:r>
    </w:p>
    <w:p w:rsidR="00271EF4" w:rsidRPr="00682BA9" w:rsidRDefault="00271EF4" w:rsidP="00682BA9">
      <w:pPr>
        <w:pStyle w:val="a6"/>
        <w:spacing w:line="360" w:lineRule="auto"/>
      </w:pPr>
      <w:r w:rsidRPr="00682BA9">
        <w:t xml:space="preserve">Параметр </w:t>
      </w:r>
      <w:r w:rsidRPr="00682BA9">
        <w:rPr>
          <w:b/>
          <w:bCs/>
        </w:rPr>
        <w:t>Суммы в</w:t>
      </w:r>
      <w:r w:rsidRPr="00682BA9">
        <w:t xml:space="preserve"> служит для выбора единиц измерения сумм (руб., тыс.руб).</w:t>
      </w:r>
    </w:p>
    <w:p w:rsidR="00271EF4" w:rsidRDefault="00271EF4" w:rsidP="00682BA9">
      <w:pPr>
        <w:pStyle w:val="a6"/>
        <w:spacing w:line="360" w:lineRule="auto"/>
        <w:jc w:val="both"/>
      </w:pPr>
      <w:r w:rsidRPr="00682BA9">
        <w:t xml:space="preserve">Параметр </w:t>
      </w:r>
      <w:r w:rsidRPr="00682BA9">
        <w:rPr>
          <w:b/>
          <w:bCs/>
        </w:rPr>
        <w:t xml:space="preserve">Количество знаков после запятой </w:t>
      </w:r>
      <w:r w:rsidRPr="00682BA9">
        <w:t>позволяет указать количество знаков после запятой, для суммовых значений.</w:t>
      </w:r>
    </w:p>
    <w:p w:rsidR="00301A18" w:rsidRPr="00301A18" w:rsidRDefault="00301A18" w:rsidP="00682BA9">
      <w:pPr>
        <w:pStyle w:val="a6"/>
        <w:spacing w:line="360" w:lineRule="auto"/>
        <w:jc w:val="both"/>
        <w:rPr>
          <w:highlight w:val="yellow"/>
        </w:rPr>
      </w:pPr>
      <w:r w:rsidRPr="001D7A52">
        <w:t xml:space="preserve">Параметр </w:t>
      </w:r>
      <w:r w:rsidRPr="001D7A52">
        <w:rPr>
          <w:b/>
        </w:rPr>
        <w:t>Проверки устранения нарушений</w:t>
      </w:r>
      <w:r w:rsidR="004C3C10" w:rsidRPr="004C3C10">
        <w:t xml:space="preserve"> </w:t>
      </w:r>
      <w:r w:rsidR="004C3C10" w:rsidRPr="00682BA9">
        <w:t xml:space="preserve">служит для </w:t>
      </w:r>
      <w:r w:rsidR="001D7A52">
        <w:t>подсчета контрольных мероприятий с видом работ 3. Проверка устранения нарушений.</w:t>
      </w:r>
    </w:p>
    <w:p w:rsidR="00301A18" w:rsidRDefault="00301A18" w:rsidP="00682BA9">
      <w:pPr>
        <w:pStyle w:val="a6"/>
        <w:spacing w:line="360" w:lineRule="auto"/>
        <w:jc w:val="both"/>
      </w:pPr>
      <w:r w:rsidRPr="004C3C10">
        <w:t xml:space="preserve">Параметр </w:t>
      </w:r>
      <w:r w:rsidRPr="004C3C10">
        <w:rPr>
          <w:b/>
        </w:rPr>
        <w:t xml:space="preserve">Сумма доходов поступивших в ФБ по данным УФК </w:t>
      </w:r>
      <w:r w:rsidRPr="004C3C10">
        <w:t>позволяет</w:t>
      </w:r>
      <w:r w:rsidR="004C3C10" w:rsidRPr="004C3C10">
        <w:t xml:space="preserve"> указать сумму доходов, поступивших в федеральный бюджет через органы Управления Федерального Казначейства.</w:t>
      </w:r>
    </w:p>
    <w:p w:rsidR="00E42B44" w:rsidRDefault="00E42B44" w:rsidP="00EF51FE">
      <w:pPr>
        <w:pStyle w:val="a6"/>
        <w:spacing w:line="360" w:lineRule="auto"/>
        <w:jc w:val="both"/>
      </w:pPr>
      <w:r w:rsidRPr="00282988">
        <w:lastRenderedPageBreak/>
        <w:t xml:space="preserve">Параметр </w:t>
      </w:r>
      <w:r w:rsidRPr="00282988">
        <w:rPr>
          <w:b/>
        </w:rPr>
        <w:t>Выводить</w:t>
      </w:r>
      <w:r w:rsidRPr="00E42B44">
        <w:rPr>
          <w:b/>
        </w:rPr>
        <w:t xml:space="preserve"> значения в млн. руб. в таблицах 1, 2</w:t>
      </w:r>
      <w:r>
        <w:rPr>
          <w:b/>
        </w:rPr>
        <w:t xml:space="preserve"> </w:t>
      </w:r>
      <w:r w:rsidR="00282988" w:rsidRPr="00682BA9">
        <w:t>служит для выбора единиц измерения</w:t>
      </w:r>
      <w:r w:rsidR="00282988">
        <w:t xml:space="preserve"> сумм в таблице 1 и 2.</w:t>
      </w:r>
    </w:p>
    <w:p w:rsidR="00174D50" w:rsidRDefault="00174D50" w:rsidP="00174D50">
      <w:pPr>
        <w:pStyle w:val="a6"/>
        <w:spacing w:line="360" w:lineRule="auto"/>
        <w:jc w:val="both"/>
      </w:pPr>
      <w:r>
        <w:t xml:space="preserve">Параметры группы </w:t>
      </w:r>
      <w:r>
        <w:rPr>
          <w:b/>
          <w:bCs/>
        </w:rPr>
        <w:t>Организации</w:t>
      </w:r>
      <w:r>
        <w:t xml:space="preserve"> позволяют ограничить данные отчета по проверяемым объектам и по участникам.</w:t>
      </w:r>
    </w:p>
    <w:p w:rsidR="000C6415" w:rsidRDefault="000C6415" w:rsidP="000C641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6DED">
        <w:rPr>
          <w:rFonts w:ascii="Times New Roman" w:hAnsi="Times New Roman" w:cs="Times New Roman"/>
          <w:sz w:val="24"/>
          <w:szCs w:val="24"/>
        </w:rPr>
        <w:t>Параметры 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682">
        <w:rPr>
          <w:rFonts w:ascii="Times New Roman" w:hAnsi="Times New Roman" w:cs="Times New Roman"/>
          <w:b/>
          <w:sz w:val="24"/>
          <w:szCs w:val="24"/>
        </w:rPr>
        <w:t xml:space="preserve">Виды </w:t>
      </w:r>
      <w:r>
        <w:rPr>
          <w:rFonts w:ascii="Times New Roman" w:hAnsi="Times New Roman" w:cs="Times New Roman"/>
          <w:b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 xml:space="preserve"> позволят ограничить данные отчета по видам работ.</w:t>
      </w:r>
      <w:r w:rsidRPr="00682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205" w:rsidRDefault="00F56205" w:rsidP="00F562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6DED">
        <w:rPr>
          <w:rFonts w:ascii="Times New Roman" w:hAnsi="Times New Roman" w:cs="Times New Roman"/>
          <w:sz w:val="24"/>
          <w:szCs w:val="24"/>
        </w:rPr>
        <w:t>Параметры 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682">
        <w:rPr>
          <w:rFonts w:ascii="Times New Roman" w:hAnsi="Times New Roman" w:cs="Times New Roman"/>
          <w:b/>
          <w:sz w:val="24"/>
          <w:szCs w:val="24"/>
        </w:rPr>
        <w:t>Виды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Раздела 2</w:t>
      </w:r>
      <w:r>
        <w:rPr>
          <w:rFonts w:ascii="Times New Roman" w:hAnsi="Times New Roman" w:cs="Times New Roman"/>
          <w:sz w:val="24"/>
          <w:szCs w:val="24"/>
        </w:rPr>
        <w:t xml:space="preserve"> позволят ограничить данные отчета по видам средств.</w:t>
      </w:r>
      <w:r w:rsidRPr="00682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C23" w:rsidRDefault="00F35C23" w:rsidP="00F35C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DED">
        <w:rPr>
          <w:rFonts w:ascii="Times New Roman" w:hAnsi="Times New Roman" w:cs="Times New Roman"/>
          <w:sz w:val="24"/>
          <w:szCs w:val="24"/>
        </w:rPr>
        <w:t>Параметры 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682">
        <w:rPr>
          <w:rFonts w:ascii="Times New Roman" w:hAnsi="Times New Roman" w:cs="Times New Roman"/>
          <w:b/>
          <w:sz w:val="24"/>
          <w:szCs w:val="24"/>
        </w:rPr>
        <w:t xml:space="preserve">Виды </w:t>
      </w:r>
      <w:r>
        <w:rPr>
          <w:rFonts w:ascii="Times New Roman" w:hAnsi="Times New Roman" w:cs="Times New Roman"/>
          <w:b/>
          <w:sz w:val="24"/>
          <w:szCs w:val="24"/>
        </w:rPr>
        <w:t xml:space="preserve">нарушений </w:t>
      </w:r>
      <w:r>
        <w:rPr>
          <w:rFonts w:ascii="Times New Roman" w:hAnsi="Times New Roman" w:cs="Times New Roman"/>
          <w:sz w:val="24"/>
          <w:szCs w:val="24"/>
        </w:rPr>
        <w:t>позволят ограничить данные отчета по видам нарушений</w:t>
      </w:r>
    </w:p>
    <w:p w:rsidR="0025522F" w:rsidRDefault="0025522F" w:rsidP="00EF5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Параметры групп </w:t>
      </w:r>
      <w:r w:rsidRPr="006B32B9">
        <w:rPr>
          <w:rFonts w:ascii="Times New Roman" w:hAnsi="Times New Roman" w:cs="Times New Roman"/>
          <w:b/>
          <w:sz w:val="24"/>
          <w:szCs w:val="24"/>
        </w:rPr>
        <w:t>Строка 2-8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522F">
        <w:rPr>
          <w:rFonts w:ascii="Times New Roman" w:hAnsi="Times New Roman" w:cs="Times New Roman"/>
          <w:b/>
          <w:sz w:val="24"/>
          <w:szCs w:val="24"/>
        </w:rPr>
        <w:t>Раздела 4</w:t>
      </w:r>
      <w:r>
        <w:rPr>
          <w:rFonts w:ascii="Times New Roman" w:hAnsi="Times New Roman" w:cs="Times New Roman"/>
          <w:sz w:val="24"/>
          <w:szCs w:val="24"/>
        </w:rPr>
        <w:t xml:space="preserve"> позволяет ограничить данные отчета по </w:t>
      </w:r>
      <w:r w:rsidRPr="006B32B9">
        <w:rPr>
          <w:rFonts w:ascii="Times New Roman" w:hAnsi="Times New Roman" w:cs="Times New Roman"/>
          <w:sz w:val="24"/>
          <w:szCs w:val="24"/>
        </w:rPr>
        <w:t xml:space="preserve">видам нарушений, </w:t>
      </w:r>
      <w:r>
        <w:rPr>
          <w:rFonts w:ascii="Times New Roman" w:hAnsi="Times New Roman" w:cs="Times New Roman"/>
          <w:sz w:val="24"/>
          <w:szCs w:val="24"/>
        </w:rPr>
        <w:t>видам документа</w:t>
      </w:r>
      <w:r w:rsidRPr="006B32B9">
        <w:rPr>
          <w:rFonts w:ascii="Times New Roman" w:hAnsi="Times New Roman" w:cs="Times New Roman"/>
          <w:sz w:val="24"/>
          <w:szCs w:val="24"/>
        </w:rPr>
        <w:t xml:space="preserve">, сопоставить выбранным видам </w:t>
      </w:r>
      <w:r>
        <w:rPr>
          <w:rFonts w:ascii="Times New Roman" w:hAnsi="Times New Roman" w:cs="Times New Roman"/>
          <w:sz w:val="24"/>
          <w:szCs w:val="24"/>
        </w:rPr>
        <w:t xml:space="preserve">регламентов записи справочника </w:t>
      </w:r>
      <w:r w:rsidRPr="006666DD">
        <w:rPr>
          <w:rFonts w:ascii="Times New Roman" w:hAnsi="Times New Roman" w:cs="Times New Roman"/>
          <w:b/>
          <w:sz w:val="24"/>
          <w:szCs w:val="24"/>
        </w:rPr>
        <w:t>Регламенты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87B" w:rsidRDefault="00A3287B" w:rsidP="00EF5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DED">
        <w:rPr>
          <w:rFonts w:ascii="Times New Roman" w:hAnsi="Times New Roman" w:cs="Times New Roman"/>
          <w:sz w:val="24"/>
          <w:szCs w:val="24"/>
        </w:rPr>
        <w:t>Параметры 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682">
        <w:rPr>
          <w:rFonts w:ascii="Times New Roman" w:hAnsi="Times New Roman" w:cs="Times New Roman"/>
          <w:b/>
          <w:sz w:val="24"/>
          <w:szCs w:val="24"/>
        </w:rPr>
        <w:t xml:space="preserve">Виды </w:t>
      </w:r>
      <w:r>
        <w:rPr>
          <w:rFonts w:ascii="Times New Roman" w:hAnsi="Times New Roman" w:cs="Times New Roman"/>
          <w:b/>
          <w:sz w:val="24"/>
          <w:szCs w:val="24"/>
        </w:rPr>
        <w:t xml:space="preserve">документов </w:t>
      </w:r>
      <w:r>
        <w:rPr>
          <w:rFonts w:ascii="Times New Roman" w:hAnsi="Times New Roman" w:cs="Times New Roman"/>
          <w:sz w:val="24"/>
          <w:szCs w:val="24"/>
        </w:rPr>
        <w:t>позволяет ограничить данные отчета по видам документов.</w:t>
      </w:r>
    </w:p>
    <w:p w:rsidR="00F56205" w:rsidRDefault="001B1BA6" w:rsidP="00EF5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DED"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z w:val="24"/>
          <w:szCs w:val="24"/>
        </w:rPr>
        <w:t>раметр</w:t>
      </w:r>
      <w:r w:rsidRPr="00C96DED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1BA6">
        <w:rPr>
          <w:rFonts w:ascii="Times New Roman" w:hAnsi="Times New Roman" w:cs="Times New Roman"/>
          <w:b/>
          <w:sz w:val="24"/>
          <w:szCs w:val="24"/>
        </w:rPr>
        <w:t>Количество проведенных ревизий и проверок, выездных проверок</w:t>
      </w:r>
      <w:r w:rsidRPr="001B1B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позволяет ограничить</w:t>
      </w:r>
      <w:r w:rsidRPr="001B1B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данные отчета по основаниям</w:t>
      </w:r>
    </w:p>
    <w:p w:rsidR="0025522F" w:rsidRDefault="0025522F" w:rsidP="00255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получения отчета за 2015 год необходимо в нижеприведенных параметрах выбрать следующие значения:</w:t>
      </w:r>
    </w:p>
    <w:p w:rsidR="00F04113" w:rsidRDefault="00F04113" w:rsidP="00EA6A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4113">
        <w:rPr>
          <w:rFonts w:ascii="Times New Roman" w:hAnsi="Times New Roman" w:cs="Times New Roman"/>
          <w:sz w:val="28"/>
          <w:szCs w:val="28"/>
        </w:rPr>
        <w:t xml:space="preserve">Группа параметров </w:t>
      </w:r>
      <w:r w:rsidRPr="00F04113">
        <w:rPr>
          <w:rFonts w:ascii="Times New Roman" w:hAnsi="Times New Roman" w:cs="Times New Roman"/>
          <w:b/>
          <w:sz w:val="28"/>
          <w:szCs w:val="28"/>
        </w:rPr>
        <w:t>Общие</w:t>
      </w:r>
    </w:p>
    <w:p w:rsidR="00EA6A4A" w:rsidRPr="00C03EE7" w:rsidRDefault="00EA6A4A" w:rsidP="00EA6A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 xml:space="preserve">Период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C743D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03EE7">
        <w:rPr>
          <w:rFonts w:ascii="Times New Roman" w:hAnsi="Times New Roman" w:cs="Times New Roman"/>
          <w:sz w:val="24"/>
          <w:szCs w:val="24"/>
        </w:rPr>
        <w:t xml:space="preserve"> 01.01.2015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C743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03EE7">
        <w:rPr>
          <w:rFonts w:ascii="Times New Roman" w:hAnsi="Times New Roman" w:cs="Times New Roman"/>
          <w:sz w:val="24"/>
          <w:szCs w:val="24"/>
        </w:rPr>
        <w:t>31.12.2015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A6A4A" w:rsidRPr="00C03EE7" w:rsidRDefault="00EA6A4A" w:rsidP="00EA6A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>Дата мероприятия 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03EE7">
        <w:rPr>
          <w:rFonts w:ascii="Times New Roman" w:hAnsi="Times New Roman" w:cs="Times New Roman"/>
          <w:sz w:val="24"/>
          <w:szCs w:val="24"/>
        </w:rPr>
        <w:t xml:space="preserve"> 01.01.1900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C743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03EE7">
        <w:rPr>
          <w:rFonts w:ascii="Times New Roman" w:hAnsi="Times New Roman" w:cs="Times New Roman"/>
          <w:sz w:val="24"/>
          <w:szCs w:val="24"/>
        </w:rPr>
        <w:t xml:space="preserve"> 31.12.2015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A18" w:rsidRDefault="00EA6A4A" w:rsidP="00F04113">
      <w:pPr>
        <w:pStyle w:val="a6"/>
        <w:spacing w:before="0" w:beforeAutospacing="0" w:after="0" w:afterAutospacing="0" w:line="360" w:lineRule="auto"/>
        <w:jc w:val="both"/>
      </w:pPr>
      <w:r w:rsidRPr="00EA6A4A">
        <w:rPr>
          <w:b/>
        </w:rPr>
        <w:t>Суммы в</w:t>
      </w:r>
      <w:r w:rsidR="00301A18">
        <w:t>: тыс. руб (в выборке)</w:t>
      </w:r>
    </w:p>
    <w:p w:rsidR="00301A18" w:rsidRDefault="00EA6A4A" w:rsidP="00F04113">
      <w:pPr>
        <w:pStyle w:val="a6"/>
        <w:spacing w:before="0" w:beforeAutospacing="0" w:after="0" w:afterAutospacing="0" w:line="360" w:lineRule="auto"/>
        <w:jc w:val="both"/>
      </w:pPr>
      <w:r w:rsidRPr="00EA6A4A">
        <w:rPr>
          <w:b/>
        </w:rPr>
        <w:t>Количество знаков после запятой</w:t>
      </w:r>
      <w:r w:rsidR="00301A18">
        <w:t>: 3</w:t>
      </w:r>
    </w:p>
    <w:p w:rsidR="00301A18" w:rsidRDefault="00EA6A4A" w:rsidP="00F04113">
      <w:pPr>
        <w:pStyle w:val="a6"/>
        <w:spacing w:before="0" w:beforeAutospacing="0" w:after="0" w:afterAutospacing="0" w:line="360" w:lineRule="auto"/>
        <w:jc w:val="both"/>
      </w:pPr>
      <w:r w:rsidRPr="00EA6A4A">
        <w:rPr>
          <w:b/>
        </w:rPr>
        <w:t>Проверки устранения нарушений</w:t>
      </w:r>
      <w:r w:rsidR="00301A18">
        <w:t>: по виду работ</w:t>
      </w:r>
      <w:r w:rsidR="00FE6997">
        <w:t>.</w:t>
      </w:r>
    </w:p>
    <w:p w:rsidR="00F84812" w:rsidRDefault="00F84812" w:rsidP="00F84812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t xml:space="preserve">Группа параметров </w:t>
      </w:r>
      <w:r w:rsidRPr="00F84812">
        <w:rPr>
          <w:rFonts w:eastAsiaTheme="minorEastAsia"/>
          <w:b/>
          <w:sz w:val="28"/>
          <w:szCs w:val="28"/>
        </w:rPr>
        <w:t>Виды работ</w:t>
      </w:r>
    </w:p>
    <w:p w:rsidR="00F84812" w:rsidRDefault="00F84812" w:rsidP="00F84812">
      <w:pPr>
        <w:pStyle w:val="a6"/>
        <w:spacing w:before="0" w:beforeAutospacing="0" w:after="0" w:afterAutospacing="0" w:line="360" w:lineRule="auto"/>
        <w:jc w:val="both"/>
      </w:pPr>
      <w:r w:rsidRPr="00F84812">
        <w:rPr>
          <w:b/>
        </w:rPr>
        <w:t>Выездная проверка</w:t>
      </w:r>
      <w:r>
        <w:t xml:space="preserve"> - 7 Выездная проверка</w:t>
      </w:r>
      <w:r w:rsidR="00FE6997">
        <w:t>.</w:t>
      </w:r>
    </w:p>
    <w:p w:rsidR="00F84812" w:rsidRDefault="00F84812" w:rsidP="00F84812">
      <w:pPr>
        <w:pStyle w:val="a6"/>
        <w:spacing w:before="0" w:beforeAutospacing="0" w:after="0" w:afterAutospacing="0" w:line="360" w:lineRule="auto"/>
        <w:jc w:val="both"/>
      </w:pPr>
      <w:r w:rsidRPr="00F84812">
        <w:rPr>
          <w:b/>
        </w:rPr>
        <w:t>Обследование</w:t>
      </w:r>
      <w:r>
        <w:t xml:space="preserve"> - 6 Обследование</w:t>
      </w:r>
      <w:r w:rsidR="00FE6997">
        <w:t>.</w:t>
      </w:r>
    </w:p>
    <w:p w:rsidR="00F84812" w:rsidRDefault="00F84812" w:rsidP="00F84812">
      <w:pPr>
        <w:pStyle w:val="a6"/>
        <w:spacing w:before="0" w:beforeAutospacing="0" w:after="0" w:afterAutospacing="0" w:line="360" w:lineRule="auto"/>
        <w:jc w:val="both"/>
      </w:pPr>
      <w:r w:rsidRPr="00F84812">
        <w:rPr>
          <w:b/>
        </w:rPr>
        <w:t>Камеральная проверка</w:t>
      </w:r>
      <w:r>
        <w:t xml:space="preserve"> - 1 Проверка</w:t>
      </w:r>
      <w:r w:rsidR="00FE6997">
        <w:t>.</w:t>
      </w:r>
    </w:p>
    <w:p w:rsidR="00F84812" w:rsidRDefault="00F84812" w:rsidP="00F84812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lastRenderedPageBreak/>
        <w:t xml:space="preserve">Группа параметров </w:t>
      </w:r>
      <w:r w:rsidRPr="00F84812">
        <w:rPr>
          <w:rFonts w:eastAsiaTheme="minorEastAsia"/>
          <w:b/>
          <w:sz w:val="28"/>
          <w:szCs w:val="28"/>
        </w:rPr>
        <w:t xml:space="preserve">Виды </w:t>
      </w:r>
      <w:r>
        <w:rPr>
          <w:rFonts w:eastAsiaTheme="minorEastAsia"/>
          <w:b/>
          <w:sz w:val="28"/>
          <w:szCs w:val="28"/>
        </w:rPr>
        <w:t>средств Раздел 2</w:t>
      </w:r>
    </w:p>
    <w:p w:rsidR="00F84812" w:rsidRDefault="00F84812" w:rsidP="00F84812">
      <w:pPr>
        <w:pStyle w:val="a6"/>
        <w:jc w:val="both"/>
      </w:pPr>
      <w:r w:rsidRPr="005E047D">
        <w:rPr>
          <w:b/>
        </w:rPr>
        <w:t>Графа 4 (21)</w:t>
      </w:r>
      <w:r>
        <w:t xml:space="preserve">  - 21 Бюджет Российской Федерации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5E047D">
        <w:rPr>
          <w:b/>
        </w:rPr>
        <w:t>Графа 5 (30твф)</w:t>
      </w:r>
      <w:r>
        <w:t xml:space="preserve"> - 30твф Межбюджетные трансферты из государственных внебюджетных фондов, выделенные федеральному бюджету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5E047D">
        <w:rPr>
          <w:b/>
        </w:rPr>
        <w:t>Графа 6 (29,29тфп,32)</w:t>
      </w:r>
      <w:r>
        <w:t xml:space="preserve">: </w:t>
      </w:r>
    </w:p>
    <w:p w:rsidR="00F84812" w:rsidRDefault="00F84812" w:rsidP="00F84812">
      <w:pPr>
        <w:pStyle w:val="a6"/>
        <w:numPr>
          <w:ilvl w:val="0"/>
          <w:numId w:val="2"/>
        </w:numPr>
        <w:jc w:val="both"/>
      </w:pPr>
      <w:r>
        <w:t xml:space="preserve">29 Межбюджетные трансферты из федерального бюджета организациям-получателям средств ФБ; </w:t>
      </w:r>
    </w:p>
    <w:p w:rsidR="00F84812" w:rsidRDefault="00F84812" w:rsidP="00F84812">
      <w:pPr>
        <w:pStyle w:val="a6"/>
        <w:numPr>
          <w:ilvl w:val="0"/>
          <w:numId w:val="2"/>
        </w:numPr>
        <w:jc w:val="both"/>
      </w:pPr>
      <w:r>
        <w:t xml:space="preserve">32 Бюджетные ассигнования из федерального бюджета, перечисленные организациям, не являющимися получателями средств федерального бюджета; </w:t>
      </w:r>
    </w:p>
    <w:p w:rsidR="00F84812" w:rsidRDefault="00F84812" w:rsidP="00F84812">
      <w:pPr>
        <w:pStyle w:val="a6"/>
        <w:numPr>
          <w:ilvl w:val="0"/>
          <w:numId w:val="2"/>
        </w:numPr>
        <w:jc w:val="both"/>
      </w:pPr>
      <w:r>
        <w:t>29тфп Прочие средства, выделенные в виде межбюджетных трансфертов из федерального бюджета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5E047D">
        <w:rPr>
          <w:b/>
        </w:rPr>
        <w:t>Графа 7 (31гфр)</w:t>
      </w:r>
      <w:r>
        <w:t xml:space="preserve"> - 31гфр Государственная поддержка из федерального бюджета региональным операторам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8 (27)</w:t>
      </w:r>
      <w:r>
        <w:t xml:space="preserve"> - 27 Средства от приносящей доход деятельности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10 (25,26)</w:t>
      </w:r>
      <w:r>
        <w:t xml:space="preserve">: </w:t>
      </w:r>
    </w:p>
    <w:p w:rsidR="00F84812" w:rsidRDefault="00F84812" w:rsidP="00F84812">
      <w:pPr>
        <w:pStyle w:val="a6"/>
        <w:numPr>
          <w:ilvl w:val="0"/>
          <w:numId w:val="3"/>
        </w:numPr>
        <w:jc w:val="both"/>
      </w:pPr>
      <w:r>
        <w:t>25 Федеральные госу</w:t>
      </w:r>
      <w:r w:rsidR="00AC3455">
        <w:t>дарственные внебюджетные фонды;</w:t>
      </w:r>
    </w:p>
    <w:p w:rsidR="00F84812" w:rsidRDefault="00F84812" w:rsidP="00F84812">
      <w:pPr>
        <w:pStyle w:val="a6"/>
        <w:numPr>
          <w:ilvl w:val="0"/>
          <w:numId w:val="3"/>
        </w:numPr>
        <w:jc w:val="both"/>
      </w:pPr>
      <w:r>
        <w:t>26 Территориальные государственные внебюджетные фонды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11 (29тфв)</w:t>
      </w:r>
      <w:r>
        <w:t xml:space="preserve"> - 29тфв Межбюджетные трансферты из федерального бюджета  выделенные бюджетам ГВФ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13 (22)</w:t>
      </w:r>
      <w:r>
        <w:t xml:space="preserve"> - 22 Бюджет субъекта Российской Федерации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14 (29тфс)</w:t>
      </w:r>
      <w:r>
        <w:t xml:space="preserve"> - 29тфс Межбюджетные трансферты из федерального бюджета выделенные бюджету субъекта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15 (30твс)</w:t>
      </w:r>
      <w:r>
        <w:t xml:space="preserve"> - 30твс Межбюджетные трансферты из государственных внебюджетных фондов бюджету субъекта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16 (31гср)</w:t>
      </w:r>
      <w:r>
        <w:t xml:space="preserve"> - 31гср Государственная поддержка из бюджетов субъектов Российской Федерации региональным операторам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18 (23)</w:t>
      </w:r>
      <w:r>
        <w:t xml:space="preserve"> - 23 Муниципальный бюджет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19 (29тфм)</w:t>
      </w:r>
      <w:r>
        <w:t xml:space="preserve"> - 29тфм Межбюджетные трансферты из федерального бюджета  выделенные бюджету муниципального образования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20 (30твм)</w:t>
      </w:r>
      <w:r>
        <w:t xml:space="preserve"> - 30твм Межбюджетные трансферты из государственных внебюджетных фондов бюджету муниципального образования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21 (31ммр)</w:t>
      </w:r>
      <w:r>
        <w:t xml:space="preserve"> - 31ммр Муниципальная поддержка из бюджетов муниципальных образований региональным операторам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lastRenderedPageBreak/>
        <w:t>Графа 23 (31спр)</w:t>
      </w:r>
      <w:r>
        <w:t xml:space="preserve"> - 31спр Средства, полученные от собственников помещений в многоквартирных домах, формирующих фонды капитального ремонта на счетах региональных операторов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24 (28)</w:t>
      </w:r>
      <w:r>
        <w:t xml:space="preserve"> - 28 Прочие средства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25 (33)</w:t>
      </w:r>
      <w:r>
        <w:t xml:space="preserve"> - 33 Бюджетные кредиты, предоставленные из федерального бюджета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2473DA">
        <w:rPr>
          <w:b/>
        </w:rPr>
        <w:t>Графа 26 (34)</w:t>
      </w:r>
      <w:r>
        <w:t xml:space="preserve"> - 34 Средства, предоставленные под государственную гарантию Российской Федерации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9F4BDE">
        <w:rPr>
          <w:b/>
        </w:rPr>
        <w:t>21цп</w:t>
      </w:r>
      <w:r>
        <w:t xml:space="preserve"> - 21цп Централизованные поставки из бюджета Российской Федерации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9F4BDE">
        <w:rPr>
          <w:b/>
        </w:rPr>
        <w:t>26цп</w:t>
      </w:r>
      <w:r>
        <w:t xml:space="preserve"> - 26цп Централизованные поставки из государственных внебюджетных фондов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9F4BDE">
        <w:rPr>
          <w:b/>
        </w:rPr>
        <w:t>29цптфс</w:t>
      </w:r>
      <w:r>
        <w:t xml:space="preserve"> - 29цптфс Централизованные поставки в виде межбюджетных трансфертов из федерального бюджета выделенные бюджету субъекта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9F4BDE">
        <w:rPr>
          <w:b/>
        </w:rPr>
        <w:t>30цптвс</w:t>
      </w:r>
      <w:r>
        <w:t xml:space="preserve"> - 30цптвс Централизованные поставки в виде межбюджетных трансфертов из государственных внебюджетных фондов бюджету субъекта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9F4BDE">
        <w:rPr>
          <w:b/>
        </w:rPr>
        <w:t>29цптфм</w:t>
      </w:r>
      <w:r>
        <w:t xml:space="preserve"> - 29цптфм Централизованные поставки в виде межбюджетных трансфертов из федерального бюджета  выделенные бюджету  муниципального образования</w:t>
      </w:r>
      <w:r w:rsidR="00FE6997">
        <w:t>.</w:t>
      </w:r>
    </w:p>
    <w:p w:rsidR="00F84812" w:rsidRDefault="00F84812" w:rsidP="00F84812">
      <w:pPr>
        <w:pStyle w:val="a6"/>
        <w:jc w:val="both"/>
      </w:pPr>
      <w:r w:rsidRPr="009F4BDE">
        <w:rPr>
          <w:b/>
        </w:rPr>
        <w:t>30цптвм</w:t>
      </w:r>
      <w:r>
        <w:t xml:space="preserve"> - 30цптвм Централизованные поставки в виде межбюджетных трансфертов из государственных внебюджетных фондов бюджету муниципального образования</w:t>
      </w:r>
      <w:r w:rsidR="00FE6997">
        <w:t>.</w:t>
      </w:r>
    </w:p>
    <w:p w:rsidR="00F84812" w:rsidRDefault="00F84812" w:rsidP="00F84812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t xml:space="preserve">Группа параметров </w:t>
      </w:r>
      <w:r w:rsidRPr="00F84812">
        <w:rPr>
          <w:rFonts w:eastAsiaTheme="minorEastAsia"/>
          <w:b/>
          <w:sz w:val="28"/>
          <w:szCs w:val="28"/>
        </w:rPr>
        <w:t xml:space="preserve">Виды </w:t>
      </w:r>
      <w:r>
        <w:rPr>
          <w:rFonts w:eastAsiaTheme="minorEastAsia"/>
          <w:b/>
          <w:sz w:val="28"/>
          <w:szCs w:val="28"/>
        </w:rPr>
        <w:t>нарушений</w:t>
      </w:r>
    </w:p>
    <w:p w:rsidR="00F84812" w:rsidRDefault="00F84812" w:rsidP="00F84812">
      <w:pPr>
        <w:pStyle w:val="a6"/>
        <w:spacing w:line="360" w:lineRule="auto"/>
        <w:jc w:val="both"/>
      </w:pPr>
      <w:r w:rsidRPr="00F84812">
        <w:rPr>
          <w:b/>
        </w:rPr>
        <w:t>Нецелевое использование (гр. 4/3/1 Раздела 2)</w:t>
      </w:r>
      <w:r>
        <w:t>:</w:t>
      </w:r>
    </w:p>
    <w:p w:rsidR="00F84812" w:rsidRDefault="00F84812" w:rsidP="00F84812">
      <w:pPr>
        <w:pStyle w:val="a6"/>
        <w:numPr>
          <w:ilvl w:val="0"/>
          <w:numId w:val="4"/>
        </w:numPr>
        <w:spacing w:line="360" w:lineRule="auto"/>
        <w:jc w:val="both"/>
      </w:pPr>
      <w:r>
        <w:t>4/3/1 Нецелевое использование средств</w:t>
      </w:r>
      <w:r w:rsidR="00FE6997">
        <w:t>;</w:t>
      </w:r>
    </w:p>
    <w:p w:rsidR="00F84812" w:rsidRDefault="00F84812" w:rsidP="00F84812">
      <w:pPr>
        <w:pStyle w:val="a6"/>
        <w:numPr>
          <w:ilvl w:val="0"/>
          <w:numId w:val="4"/>
        </w:numPr>
        <w:spacing w:line="360" w:lineRule="auto"/>
        <w:jc w:val="both"/>
      </w:pPr>
      <w:r>
        <w:t>01 Нецелевое использование средств</w:t>
      </w:r>
      <w:r w:rsidR="00FE6997">
        <w:t>.</w:t>
      </w:r>
    </w:p>
    <w:p w:rsidR="00F84812" w:rsidRDefault="00F84812" w:rsidP="00F84812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t xml:space="preserve">Группа параметров </w:t>
      </w:r>
      <w:r>
        <w:rPr>
          <w:rFonts w:eastAsiaTheme="minorEastAsia"/>
          <w:b/>
          <w:sz w:val="28"/>
          <w:szCs w:val="28"/>
        </w:rPr>
        <w:t>Строка 2 Раздела 4</w:t>
      </w:r>
    </w:p>
    <w:p w:rsidR="00F84812" w:rsidRDefault="00F84812" w:rsidP="00F84812">
      <w:pPr>
        <w:pStyle w:val="a6"/>
        <w:spacing w:before="0" w:beforeAutospacing="0" w:after="0" w:afterAutospacing="0" w:line="360" w:lineRule="auto"/>
        <w:jc w:val="both"/>
      </w:pPr>
      <w:r w:rsidRPr="00F84812">
        <w:rPr>
          <w:b/>
        </w:rPr>
        <w:t>Виды документов в доход бюджета</w:t>
      </w:r>
      <w:r>
        <w:t>:</w:t>
      </w:r>
    </w:p>
    <w:p w:rsidR="00F84812" w:rsidRDefault="00F84812" w:rsidP="00F84812">
      <w:pPr>
        <w:pStyle w:val="a6"/>
        <w:numPr>
          <w:ilvl w:val="0"/>
          <w:numId w:val="5"/>
        </w:numPr>
        <w:spacing w:before="0" w:beforeAutospacing="0" w:after="0" w:afterAutospacing="0" w:line="360" w:lineRule="auto"/>
        <w:jc w:val="both"/>
      </w:pPr>
      <w:r>
        <w:t>33 Платежное поручение</w:t>
      </w:r>
      <w:r w:rsidR="00FE6997">
        <w:t>;</w:t>
      </w:r>
    </w:p>
    <w:p w:rsidR="00F84812" w:rsidRDefault="00F84812" w:rsidP="00F84812">
      <w:pPr>
        <w:pStyle w:val="a6"/>
        <w:numPr>
          <w:ilvl w:val="0"/>
          <w:numId w:val="5"/>
        </w:numPr>
        <w:spacing w:before="0" w:beforeAutospacing="0" w:after="0" w:afterAutospacing="0" w:line="360" w:lineRule="auto"/>
        <w:jc w:val="both"/>
      </w:pPr>
      <w:r>
        <w:t>34 Квитанция</w:t>
      </w:r>
      <w:r w:rsidR="00FE6997">
        <w:t>.</w:t>
      </w:r>
    </w:p>
    <w:p w:rsidR="00F84812" w:rsidRDefault="00F84812" w:rsidP="00F84812">
      <w:pPr>
        <w:pStyle w:val="a6"/>
        <w:spacing w:line="360" w:lineRule="auto"/>
        <w:jc w:val="both"/>
      </w:pPr>
      <w:r w:rsidRPr="0076278C">
        <w:rPr>
          <w:b/>
        </w:rPr>
        <w:t>Регламент добровольные меры</w:t>
      </w:r>
      <w:r w:rsidR="0076278C">
        <w:t xml:space="preserve"> -</w:t>
      </w:r>
      <w:r>
        <w:t xml:space="preserve"> 11 Возмещения</w:t>
      </w:r>
      <w:r w:rsidR="00FE6997">
        <w:t>.</w:t>
      </w:r>
    </w:p>
    <w:p w:rsidR="00D72D3D" w:rsidRDefault="00D72D3D" w:rsidP="0076278C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</w:p>
    <w:p w:rsidR="00D72D3D" w:rsidRDefault="00D72D3D" w:rsidP="0076278C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</w:p>
    <w:p w:rsidR="0076278C" w:rsidRDefault="0076278C" w:rsidP="0076278C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lastRenderedPageBreak/>
        <w:t xml:space="preserve">Группа параметров </w:t>
      </w:r>
      <w:r>
        <w:rPr>
          <w:rFonts w:eastAsiaTheme="minorEastAsia"/>
          <w:b/>
          <w:sz w:val="28"/>
          <w:szCs w:val="28"/>
        </w:rPr>
        <w:t>Строка 4 Раздела 4</w:t>
      </w:r>
    </w:p>
    <w:p w:rsidR="00F84812" w:rsidRDefault="00F84812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Документ о</w:t>
      </w:r>
      <w:r w:rsidR="002872F7">
        <w:rPr>
          <w:b/>
        </w:rPr>
        <w:t xml:space="preserve"> взыскании с виновных лиц руковод</w:t>
      </w:r>
      <w:r w:rsidRPr="0076278C">
        <w:rPr>
          <w:b/>
        </w:rPr>
        <w:t>ством проверенных организаций</w:t>
      </w:r>
      <w:r w:rsidR="0076278C">
        <w:t xml:space="preserve"> - </w:t>
      </w:r>
      <w:r>
        <w:t>92 Документ о взыскании с виновных лиц (руководством проверенных организаций)</w:t>
      </w:r>
      <w:r w:rsidR="00FE6997">
        <w:t>.</w:t>
      </w:r>
    </w:p>
    <w:p w:rsidR="0076278C" w:rsidRDefault="0076278C" w:rsidP="0076278C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t xml:space="preserve">Группа параметров </w:t>
      </w:r>
      <w:r>
        <w:rPr>
          <w:rFonts w:eastAsiaTheme="minorEastAsia"/>
          <w:b/>
          <w:sz w:val="28"/>
          <w:szCs w:val="28"/>
        </w:rPr>
        <w:t>Строка 6 Раздела 4</w:t>
      </w:r>
    </w:p>
    <w:p w:rsidR="00F84812" w:rsidRDefault="00F84812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Извещение на изменение ЛБО</w:t>
      </w:r>
      <w:r w:rsidR="0076278C">
        <w:t xml:space="preserve"> -</w:t>
      </w:r>
      <w:r>
        <w:t xml:space="preserve"> 110 Уведомление (извещение) о взыскании в принудительном порядке и уменьшении финансирования</w:t>
      </w:r>
      <w:r w:rsidR="00FE6997">
        <w:t>.</w:t>
      </w:r>
    </w:p>
    <w:p w:rsidR="0076278C" w:rsidRDefault="0076278C" w:rsidP="0076278C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t xml:space="preserve">Группа параметров </w:t>
      </w:r>
      <w:r>
        <w:rPr>
          <w:rFonts w:eastAsiaTheme="minorEastAsia"/>
          <w:b/>
          <w:sz w:val="28"/>
          <w:szCs w:val="28"/>
        </w:rPr>
        <w:t>Строка 8 Раздела 4</w:t>
      </w:r>
    </w:p>
    <w:p w:rsidR="00F84812" w:rsidRDefault="00F84812" w:rsidP="0076278C">
      <w:pPr>
        <w:pStyle w:val="a6"/>
        <w:spacing w:after="0" w:afterAutospacing="0" w:line="360" w:lineRule="auto"/>
        <w:jc w:val="both"/>
      </w:pPr>
      <w:r w:rsidRPr="0076278C">
        <w:rPr>
          <w:b/>
        </w:rPr>
        <w:t>Виды документов дополнительно поступило в бюджет</w:t>
      </w:r>
      <w:r>
        <w:t xml:space="preserve">: </w:t>
      </w:r>
    </w:p>
    <w:p w:rsidR="00F84812" w:rsidRDefault="00F84812" w:rsidP="0076278C">
      <w:pPr>
        <w:pStyle w:val="a6"/>
        <w:numPr>
          <w:ilvl w:val="0"/>
          <w:numId w:val="6"/>
        </w:numPr>
        <w:spacing w:before="0" w:beforeAutospacing="0" w:after="0" w:afterAutospacing="0" w:line="360" w:lineRule="auto"/>
        <w:jc w:val="both"/>
      </w:pPr>
      <w:r>
        <w:t>33 Платежное поручение</w:t>
      </w:r>
      <w:r w:rsidR="00FE6997">
        <w:t>;</w:t>
      </w:r>
    </w:p>
    <w:p w:rsidR="00F84812" w:rsidRDefault="00F84812" w:rsidP="0076278C">
      <w:pPr>
        <w:pStyle w:val="a6"/>
        <w:numPr>
          <w:ilvl w:val="0"/>
          <w:numId w:val="6"/>
        </w:numPr>
        <w:spacing w:before="0" w:beforeAutospacing="0" w:after="0" w:afterAutospacing="0" w:line="360" w:lineRule="auto"/>
        <w:jc w:val="both"/>
      </w:pPr>
      <w:r>
        <w:t>34 Квитанция</w:t>
      </w:r>
      <w:r w:rsidR="00FE6997">
        <w:t>.</w:t>
      </w:r>
    </w:p>
    <w:p w:rsidR="00F84812" w:rsidRDefault="00F84812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Виды нарушений дополнительно поступило в бюджет</w:t>
      </w:r>
      <w:r w:rsidR="0076278C">
        <w:t>:</w:t>
      </w:r>
    </w:p>
    <w:p w:rsidR="00F84812" w:rsidRDefault="00F84812" w:rsidP="0076278C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ind w:left="714" w:hanging="357"/>
        <w:jc w:val="both"/>
      </w:pPr>
      <w:r>
        <w:t>4/7.1 Недопоступление платежей в бюджет и внебюджетный фонды</w:t>
      </w:r>
      <w:r w:rsidR="00FE6997">
        <w:t>;</w:t>
      </w:r>
    </w:p>
    <w:p w:rsidR="00F84812" w:rsidRDefault="00F84812" w:rsidP="0076278C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ind w:left="714" w:hanging="357"/>
        <w:jc w:val="both"/>
      </w:pPr>
      <w:r>
        <w:t>4/7.2 Нарушение требований об использовании специальных банковских счетов</w:t>
      </w:r>
      <w:r w:rsidR="00FE6997">
        <w:t>;</w:t>
      </w:r>
    </w:p>
    <w:p w:rsidR="00F84812" w:rsidRDefault="00F84812" w:rsidP="0076278C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ind w:left="714" w:hanging="357"/>
        <w:jc w:val="both"/>
      </w:pPr>
      <w:r>
        <w:t>05 Недопоступление налоговых платежей в бюджет</w:t>
      </w:r>
      <w:r w:rsidR="00FE6997">
        <w:t>;</w:t>
      </w:r>
    </w:p>
    <w:p w:rsidR="00F84812" w:rsidRDefault="00F84812" w:rsidP="0076278C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ind w:left="714" w:hanging="357"/>
        <w:jc w:val="both"/>
      </w:pPr>
      <w:r>
        <w:t>06 Недопоступление неналоговых платежей в бюджет</w:t>
      </w:r>
      <w:r w:rsidR="00FE6997">
        <w:t>;</w:t>
      </w:r>
    </w:p>
    <w:p w:rsidR="00F84812" w:rsidRDefault="00F84812" w:rsidP="0076278C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ind w:left="714" w:hanging="357"/>
        <w:jc w:val="both"/>
      </w:pPr>
      <w:r>
        <w:t>07 Недопоступление платежей в государственные внебюджетные фонды</w:t>
      </w:r>
      <w:r w:rsidR="00FE6997">
        <w:t>;</w:t>
      </w:r>
    </w:p>
    <w:p w:rsidR="00F84812" w:rsidRDefault="00F84812" w:rsidP="0076278C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ind w:left="714" w:hanging="357"/>
        <w:jc w:val="both"/>
      </w:pPr>
      <w:r>
        <w:t>07.1 Недопоступление налоговых платежей в государственные внебюджетные фонды</w:t>
      </w:r>
      <w:r w:rsidR="00FE6997">
        <w:t>;</w:t>
      </w:r>
    </w:p>
    <w:p w:rsidR="00F84812" w:rsidRDefault="00F84812" w:rsidP="0076278C">
      <w:pPr>
        <w:pStyle w:val="a6"/>
        <w:numPr>
          <w:ilvl w:val="0"/>
          <w:numId w:val="7"/>
        </w:numPr>
        <w:spacing w:before="0" w:beforeAutospacing="0" w:after="0" w:afterAutospacing="0" w:line="360" w:lineRule="auto"/>
        <w:ind w:left="714" w:hanging="357"/>
        <w:jc w:val="both"/>
      </w:pPr>
      <w:r>
        <w:t>07.2 Недопоступление неналоговых платежей в государственные внебюджетные фонды</w:t>
      </w:r>
      <w:r w:rsidR="00FE6997">
        <w:t>.</w:t>
      </w:r>
    </w:p>
    <w:p w:rsidR="0076278C" w:rsidRDefault="0076278C" w:rsidP="0076278C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t xml:space="preserve">Группа параметров </w:t>
      </w:r>
      <w:r>
        <w:rPr>
          <w:rFonts w:eastAsiaTheme="minorEastAsia"/>
          <w:b/>
          <w:sz w:val="28"/>
          <w:szCs w:val="28"/>
        </w:rPr>
        <w:t>Строка 7 Раздела 4</w:t>
      </w:r>
    </w:p>
    <w:p w:rsidR="00F84812" w:rsidRDefault="00F84812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Документы о возмещении</w:t>
      </w:r>
      <w:r w:rsidR="0076278C">
        <w:t>:</w:t>
      </w:r>
    </w:p>
    <w:p w:rsidR="00F84812" w:rsidRDefault="00F84812" w:rsidP="0076278C">
      <w:pPr>
        <w:pStyle w:val="a6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t>33 Платежное поручение</w:t>
      </w:r>
      <w:r w:rsidR="00FE6997">
        <w:t>;</w:t>
      </w:r>
    </w:p>
    <w:p w:rsidR="00F84812" w:rsidRDefault="00F84812" w:rsidP="0076278C">
      <w:pPr>
        <w:pStyle w:val="a6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t>34 Квитанция</w:t>
      </w:r>
      <w:r w:rsidR="00FE6997">
        <w:t>;</w:t>
      </w:r>
    </w:p>
    <w:p w:rsidR="00F84812" w:rsidRDefault="00F84812" w:rsidP="0076278C">
      <w:pPr>
        <w:pStyle w:val="a6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>
        <w:t>54 Бухгалтерская справка</w:t>
      </w:r>
      <w:r w:rsidR="00FE6997">
        <w:t>.</w:t>
      </w:r>
    </w:p>
    <w:p w:rsidR="00F84812" w:rsidRDefault="00F84812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Типы организаций судебные органы</w:t>
      </w:r>
      <w:r w:rsidR="0076278C">
        <w:t xml:space="preserve"> -</w:t>
      </w:r>
      <w:r>
        <w:t xml:space="preserve"> 17 Судебные органы</w:t>
      </w:r>
      <w:r w:rsidR="00FE6997">
        <w:t>.</w:t>
      </w:r>
    </w:p>
    <w:p w:rsidR="00F84812" w:rsidRDefault="00F84812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Решение суда</w:t>
      </w:r>
      <w:r w:rsidR="0076278C">
        <w:t xml:space="preserve"> -</w:t>
      </w:r>
      <w:r>
        <w:t xml:space="preserve"> 44 Решение суда</w:t>
      </w:r>
      <w:r w:rsidR="00FE6997">
        <w:t>.</w:t>
      </w:r>
    </w:p>
    <w:p w:rsidR="00FE6997" w:rsidRDefault="00FE6997" w:rsidP="0076278C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</w:p>
    <w:p w:rsidR="0076278C" w:rsidRDefault="0076278C" w:rsidP="0076278C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lastRenderedPageBreak/>
        <w:t xml:space="preserve">Группа параметров </w:t>
      </w:r>
      <w:r>
        <w:rPr>
          <w:rFonts w:eastAsiaTheme="minorEastAsia"/>
          <w:b/>
          <w:sz w:val="28"/>
          <w:szCs w:val="28"/>
        </w:rPr>
        <w:t>Строка 3 Раздела 4</w:t>
      </w:r>
    </w:p>
    <w:p w:rsidR="002872F7" w:rsidRDefault="00F84812" w:rsidP="002872F7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Виды документов на л/с и в кассы</w:t>
      </w:r>
      <w:r w:rsidR="002872F7">
        <w:t>:</w:t>
      </w:r>
    </w:p>
    <w:p w:rsidR="002872F7" w:rsidRDefault="002872F7" w:rsidP="002872F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>
        <w:t>35 Приходный ордер</w:t>
      </w:r>
      <w:r w:rsidR="00051597">
        <w:t>;</w:t>
      </w:r>
    </w:p>
    <w:p w:rsidR="002872F7" w:rsidRDefault="002872F7" w:rsidP="002872F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>
        <w:t>54 Бухгалтерская справка</w:t>
      </w:r>
      <w:r w:rsidR="00051597">
        <w:t>;</w:t>
      </w:r>
    </w:p>
    <w:p w:rsidR="002872F7" w:rsidRDefault="002872F7" w:rsidP="002872F7">
      <w:pPr>
        <w:pStyle w:val="a6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>
        <w:t>96 Акт приемки выполненных работ</w:t>
      </w:r>
      <w:r w:rsidR="00051597">
        <w:t>.</w:t>
      </w:r>
    </w:p>
    <w:p w:rsidR="00F84812" w:rsidRDefault="00F84812" w:rsidP="002872F7">
      <w:pPr>
        <w:pStyle w:val="a6"/>
        <w:spacing w:before="0" w:beforeAutospacing="0" w:after="0" w:afterAutospacing="0" w:line="360" w:lineRule="auto"/>
        <w:jc w:val="both"/>
      </w:pPr>
      <w:r w:rsidRPr="002872F7">
        <w:rPr>
          <w:b/>
        </w:rPr>
        <w:t>Регламент добровольные меры</w:t>
      </w:r>
      <w:r w:rsidR="002872F7">
        <w:t xml:space="preserve"> -</w:t>
      </w:r>
      <w:r>
        <w:t xml:space="preserve"> 11 Возмещения</w:t>
      </w:r>
      <w:r w:rsidR="00051597">
        <w:t>.</w:t>
      </w:r>
    </w:p>
    <w:p w:rsidR="002872F7" w:rsidRDefault="002872F7" w:rsidP="002872F7">
      <w:pPr>
        <w:pStyle w:val="a6"/>
        <w:spacing w:before="0" w:beforeAutospacing="0" w:after="0" w:afterAutospacing="0" w:line="360" w:lineRule="auto"/>
        <w:jc w:val="both"/>
      </w:pPr>
      <w:r w:rsidRPr="002872F7">
        <w:rPr>
          <w:b/>
        </w:rPr>
        <w:t>Исключаемые виды нарушений</w:t>
      </w:r>
      <w:r w:rsidRPr="002872F7">
        <w:t>:</w:t>
      </w:r>
    </w:p>
    <w:p w:rsidR="002872F7" w:rsidRDefault="002872F7" w:rsidP="002872F7">
      <w:pPr>
        <w:pStyle w:val="a6"/>
        <w:numPr>
          <w:ilvl w:val="0"/>
          <w:numId w:val="13"/>
        </w:numPr>
        <w:spacing w:before="0" w:beforeAutospacing="0" w:after="0" w:afterAutospacing="0" w:line="360" w:lineRule="auto"/>
        <w:ind w:left="714" w:hanging="357"/>
        <w:jc w:val="both"/>
      </w:pPr>
      <w:r w:rsidRPr="002872F7">
        <w:t>1 Искажение отчетных данных, нарушения правильности ведения бухгалтерского учета и предоставления бухгалтерской отчетности, порядка и сроков хранения учетных документов</w:t>
      </w:r>
      <w:r w:rsidR="00051597">
        <w:t>;</w:t>
      </w:r>
    </w:p>
    <w:p w:rsidR="002872F7" w:rsidRDefault="00A26574" w:rsidP="002872F7">
      <w:pPr>
        <w:pStyle w:val="a6"/>
        <w:numPr>
          <w:ilvl w:val="0"/>
          <w:numId w:val="13"/>
        </w:numPr>
        <w:spacing w:before="0" w:beforeAutospacing="0" w:after="0" w:afterAutospacing="0" w:line="360" w:lineRule="auto"/>
        <w:ind w:left="714" w:hanging="357"/>
        <w:jc w:val="both"/>
      </w:pPr>
      <w:r>
        <w:t xml:space="preserve">4/5 </w:t>
      </w:r>
      <w:bookmarkStart w:id="1" w:name="_GoBack"/>
      <w:bookmarkEnd w:id="1"/>
      <w:r w:rsidR="002872F7" w:rsidRPr="002872F7">
        <w:t>Нарушение порядка ведения бюджетного учета, представления бюджетной отчетности</w:t>
      </w:r>
      <w:r w:rsidR="00051597">
        <w:t>;</w:t>
      </w:r>
    </w:p>
    <w:p w:rsidR="002872F7" w:rsidRDefault="002872F7" w:rsidP="002872F7">
      <w:pPr>
        <w:pStyle w:val="a6"/>
        <w:numPr>
          <w:ilvl w:val="0"/>
          <w:numId w:val="13"/>
        </w:numPr>
        <w:spacing w:before="0" w:beforeAutospacing="0" w:after="0" w:afterAutospacing="0" w:line="360" w:lineRule="auto"/>
        <w:ind w:left="714" w:hanging="357"/>
        <w:jc w:val="both"/>
      </w:pPr>
      <w:r w:rsidRPr="002872F7">
        <w:t>4/5/1 Нарушение порядка представления бюджетной отчетности</w:t>
      </w:r>
      <w:r w:rsidR="00051597">
        <w:t>;</w:t>
      </w:r>
    </w:p>
    <w:p w:rsidR="002872F7" w:rsidRDefault="002872F7" w:rsidP="002872F7">
      <w:pPr>
        <w:pStyle w:val="a6"/>
        <w:numPr>
          <w:ilvl w:val="0"/>
          <w:numId w:val="13"/>
        </w:numPr>
        <w:spacing w:before="0" w:beforeAutospacing="0" w:after="0" w:afterAutospacing="0" w:line="360" w:lineRule="auto"/>
        <w:ind w:left="714" w:hanging="357"/>
        <w:jc w:val="both"/>
      </w:pPr>
      <w:r w:rsidRPr="002872F7">
        <w:t>4/5/2 Нарушение порядка и правил учета бюджетных средств</w:t>
      </w:r>
      <w:r w:rsidR="00051597">
        <w:t>;</w:t>
      </w:r>
    </w:p>
    <w:p w:rsidR="002872F7" w:rsidRDefault="002872F7" w:rsidP="002872F7">
      <w:pPr>
        <w:pStyle w:val="a6"/>
        <w:numPr>
          <w:ilvl w:val="0"/>
          <w:numId w:val="13"/>
        </w:numPr>
        <w:spacing w:before="0" w:beforeAutospacing="0" w:after="0" w:afterAutospacing="0" w:line="360" w:lineRule="auto"/>
        <w:ind w:left="714" w:hanging="357"/>
        <w:jc w:val="both"/>
      </w:pPr>
      <w:r w:rsidRPr="002872F7">
        <w:t>4/5/3 Нарушение порядка учета материальных ценностей</w:t>
      </w:r>
      <w:r w:rsidR="00A26574">
        <w:t>;</w:t>
      </w:r>
    </w:p>
    <w:p w:rsidR="00A26574" w:rsidRPr="002872F7" w:rsidRDefault="00A26574" w:rsidP="00A26574">
      <w:pPr>
        <w:pStyle w:val="a6"/>
        <w:numPr>
          <w:ilvl w:val="0"/>
          <w:numId w:val="13"/>
        </w:numPr>
        <w:jc w:val="both"/>
      </w:pPr>
      <w:r>
        <w:t>4/5/4 Нарушение порядка представления бухгалтерской отчетности.</w:t>
      </w:r>
      <w:r>
        <w:tab/>
      </w:r>
      <w:r>
        <w:tab/>
      </w:r>
    </w:p>
    <w:p w:rsidR="0076278C" w:rsidRDefault="0076278C" w:rsidP="0076278C">
      <w:pPr>
        <w:pStyle w:val="a6"/>
        <w:spacing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t xml:space="preserve">Группа параметров </w:t>
      </w:r>
      <w:r>
        <w:rPr>
          <w:rFonts w:eastAsiaTheme="minorEastAsia"/>
          <w:b/>
          <w:sz w:val="28"/>
          <w:szCs w:val="28"/>
        </w:rPr>
        <w:t>Виды документов</w:t>
      </w:r>
    </w:p>
    <w:p w:rsidR="00F84812" w:rsidRDefault="00F84812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Протокол об АП</w:t>
      </w:r>
      <w:r w:rsidR="008C3628">
        <w:t xml:space="preserve"> -</w:t>
      </w:r>
      <w:r>
        <w:t xml:space="preserve"> 7 Протокол об АП</w:t>
      </w:r>
      <w:r w:rsidR="00051597">
        <w:t>.</w:t>
      </w:r>
    </w:p>
    <w:p w:rsidR="00F84812" w:rsidRDefault="00F84812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О рассмотрении Протокола об АП</w:t>
      </w:r>
      <w:r w:rsidR="0076278C">
        <w:t>:</w:t>
      </w:r>
    </w:p>
    <w:p w:rsidR="00F84812" w:rsidRDefault="00F84812" w:rsidP="0076278C">
      <w:pPr>
        <w:pStyle w:val="a6"/>
        <w:numPr>
          <w:ilvl w:val="0"/>
          <w:numId w:val="9"/>
        </w:numPr>
        <w:spacing w:before="0" w:beforeAutospacing="0" w:after="0" w:afterAutospacing="0" w:line="360" w:lineRule="auto"/>
        <w:jc w:val="both"/>
      </w:pPr>
      <w:r>
        <w:t>28 Постановление о прекращении дела об АП</w:t>
      </w:r>
      <w:r w:rsidR="00051597">
        <w:t>;</w:t>
      </w:r>
    </w:p>
    <w:p w:rsidR="00F84812" w:rsidRDefault="00F84812" w:rsidP="0076278C">
      <w:pPr>
        <w:pStyle w:val="a6"/>
        <w:numPr>
          <w:ilvl w:val="0"/>
          <w:numId w:val="9"/>
        </w:numPr>
        <w:spacing w:before="0" w:beforeAutospacing="0" w:after="0" w:afterAutospacing="0" w:line="360" w:lineRule="auto"/>
        <w:jc w:val="both"/>
      </w:pPr>
      <w:r>
        <w:t>31 Постановление о назначении административного наказания</w:t>
      </w:r>
      <w:r w:rsidR="00051597">
        <w:t>.</w:t>
      </w:r>
    </w:p>
    <w:p w:rsidR="00F84812" w:rsidRDefault="0076278C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Предписание</w:t>
      </w:r>
      <w:r>
        <w:t xml:space="preserve"> -</w:t>
      </w:r>
      <w:r w:rsidR="00F84812">
        <w:t xml:space="preserve"> 9 Предписание</w:t>
      </w:r>
      <w:r w:rsidR="00051597">
        <w:t>.</w:t>
      </w:r>
    </w:p>
    <w:p w:rsidR="00F84812" w:rsidRDefault="0076278C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Представление</w:t>
      </w:r>
      <w:r>
        <w:t xml:space="preserve"> -</w:t>
      </w:r>
      <w:r w:rsidR="00F84812">
        <w:t xml:space="preserve"> 10 Представление</w:t>
      </w:r>
      <w:r w:rsidR="00051597">
        <w:t>.</w:t>
      </w:r>
    </w:p>
    <w:p w:rsidR="00F84812" w:rsidRDefault="00F84812" w:rsidP="0076278C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Уведомлен</w:t>
      </w:r>
      <w:r w:rsidR="0076278C" w:rsidRPr="0076278C">
        <w:rPr>
          <w:b/>
        </w:rPr>
        <w:t xml:space="preserve">ие о применении бюджетных мер </w:t>
      </w:r>
      <w:r w:rsidR="0076278C">
        <w:t xml:space="preserve">- </w:t>
      </w:r>
      <w:r>
        <w:t>107 Уведомление о применении бюджетных мер принуждения</w:t>
      </w:r>
      <w:r w:rsidR="00051597">
        <w:t>.</w:t>
      </w:r>
    </w:p>
    <w:p w:rsidR="0076278C" w:rsidRDefault="0076278C" w:rsidP="00C721BD">
      <w:pPr>
        <w:pStyle w:val="a6"/>
        <w:spacing w:before="160" w:beforeAutospacing="0" w:after="160" w:afterAutospacing="0" w:line="360" w:lineRule="auto"/>
        <w:jc w:val="both"/>
        <w:rPr>
          <w:rFonts w:eastAsiaTheme="minorEastAsia"/>
          <w:sz w:val="28"/>
          <w:szCs w:val="28"/>
        </w:rPr>
      </w:pPr>
      <w:r w:rsidRPr="00F84812">
        <w:rPr>
          <w:rFonts w:eastAsiaTheme="minorEastAsia"/>
          <w:sz w:val="28"/>
          <w:szCs w:val="28"/>
        </w:rPr>
        <w:t xml:space="preserve">Группа параметров </w:t>
      </w:r>
      <w:r>
        <w:rPr>
          <w:rFonts w:eastAsiaTheme="minorEastAsia"/>
          <w:b/>
          <w:sz w:val="28"/>
          <w:szCs w:val="28"/>
        </w:rPr>
        <w:t>Количество проведенных ревизий и проверок, выездных проверок</w:t>
      </w:r>
    </w:p>
    <w:p w:rsidR="00F84812" w:rsidRDefault="00F84812" w:rsidP="00AD277B">
      <w:pPr>
        <w:pStyle w:val="a6"/>
        <w:spacing w:before="0" w:beforeAutospacing="0" w:after="0" w:afterAutospacing="0" w:line="360" w:lineRule="auto"/>
        <w:jc w:val="both"/>
      </w:pPr>
      <w:r w:rsidRPr="0076278C">
        <w:rPr>
          <w:b/>
        </w:rPr>
        <w:t>Исключаемые основания</w:t>
      </w:r>
      <w:r w:rsidR="00DD5B00">
        <w:t xml:space="preserve"> -</w:t>
      </w:r>
      <w:r>
        <w:t xml:space="preserve"> 0 Письмо ЦА о привлечении специалистов</w:t>
      </w:r>
      <w:r w:rsidR="00051597">
        <w:t>.</w:t>
      </w:r>
    </w:p>
    <w:p w:rsidR="00301A18" w:rsidRDefault="00301A18" w:rsidP="00F84812">
      <w:pPr>
        <w:pStyle w:val="a6"/>
        <w:spacing w:line="360" w:lineRule="auto"/>
        <w:jc w:val="both"/>
      </w:pPr>
    </w:p>
    <w:sectPr w:rsidR="00301A18" w:rsidSect="00F0443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4DD" w:rsidRDefault="007214DD" w:rsidP="006F3D90">
      <w:pPr>
        <w:spacing w:after="0" w:line="240" w:lineRule="auto"/>
      </w:pPr>
      <w:r>
        <w:separator/>
      </w:r>
    </w:p>
  </w:endnote>
  <w:endnote w:type="continuationSeparator" w:id="0">
    <w:p w:rsidR="007214DD" w:rsidRDefault="007214DD" w:rsidP="006F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1430"/>
      <w:docPartObj>
        <w:docPartGallery w:val="Page Numbers (Bottom of Page)"/>
        <w:docPartUnique/>
      </w:docPartObj>
    </w:sdtPr>
    <w:sdtEndPr/>
    <w:sdtContent>
      <w:p w:rsidR="002F2F7A" w:rsidRDefault="002F2F7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65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2F7A" w:rsidRDefault="002F2F7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4DD" w:rsidRDefault="007214DD" w:rsidP="006F3D90">
      <w:pPr>
        <w:spacing w:after="0" w:line="240" w:lineRule="auto"/>
      </w:pPr>
      <w:r>
        <w:separator/>
      </w:r>
    </w:p>
  </w:footnote>
  <w:footnote w:type="continuationSeparator" w:id="0">
    <w:p w:rsidR="007214DD" w:rsidRDefault="007214DD" w:rsidP="006F3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A0621"/>
    <w:multiLevelType w:val="hybridMultilevel"/>
    <w:tmpl w:val="AD426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730E2"/>
    <w:multiLevelType w:val="hybridMultilevel"/>
    <w:tmpl w:val="27401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76819"/>
    <w:multiLevelType w:val="hybridMultilevel"/>
    <w:tmpl w:val="9F421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B45BC"/>
    <w:multiLevelType w:val="hybridMultilevel"/>
    <w:tmpl w:val="0AE8E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B69C5"/>
    <w:multiLevelType w:val="hybridMultilevel"/>
    <w:tmpl w:val="D36A0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96EB7"/>
    <w:multiLevelType w:val="hybridMultilevel"/>
    <w:tmpl w:val="644C3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2866DE"/>
    <w:multiLevelType w:val="hybridMultilevel"/>
    <w:tmpl w:val="339A0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936137"/>
    <w:multiLevelType w:val="hybridMultilevel"/>
    <w:tmpl w:val="6DBE7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CF2BAB"/>
    <w:multiLevelType w:val="hybridMultilevel"/>
    <w:tmpl w:val="F3489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DD604C"/>
    <w:multiLevelType w:val="hybridMultilevel"/>
    <w:tmpl w:val="2452D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B2A8A"/>
    <w:multiLevelType w:val="hybridMultilevel"/>
    <w:tmpl w:val="35E03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BA336A"/>
    <w:multiLevelType w:val="hybridMultilevel"/>
    <w:tmpl w:val="4462D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B91012"/>
    <w:multiLevelType w:val="hybridMultilevel"/>
    <w:tmpl w:val="8D58F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E0CE9"/>
    <w:multiLevelType w:val="hybridMultilevel"/>
    <w:tmpl w:val="DCC6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6"/>
  </w:num>
  <w:num w:numId="5">
    <w:abstractNumId w:val="13"/>
  </w:num>
  <w:num w:numId="6">
    <w:abstractNumId w:val="4"/>
  </w:num>
  <w:num w:numId="7">
    <w:abstractNumId w:val="7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5"/>
  </w:num>
  <w:num w:numId="13">
    <w:abstractNumId w:val="12"/>
  </w:num>
  <w:num w:numId="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C5"/>
    <w:rsid w:val="000310D3"/>
    <w:rsid w:val="0004199A"/>
    <w:rsid w:val="00051597"/>
    <w:rsid w:val="00061FBC"/>
    <w:rsid w:val="000743A7"/>
    <w:rsid w:val="000911E7"/>
    <w:rsid w:val="000A1979"/>
    <w:rsid w:val="000C6415"/>
    <w:rsid w:val="000D4E16"/>
    <w:rsid w:val="000E2B73"/>
    <w:rsid w:val="000E4B9D"/>
    <w:rsid w:val="001052E3"/>
    <w:rsid w:val="00124626"/>
    <w:rsid w:val="00144B64"/>
    <w:rsid w:val="00161B7D"/>
    <w:rsid w:val="001723EE"/>
    <w:rsid w:val="00174D50"/>
    <w:rsid w:val="00184E75"/>
    <w:rsid w:val="00190E0A"/>
    <w:rsid w:val="00192993"/>
    <w:rsid w:val="001A4A53"/>
    <w:rsid w:val="001A6019"/>
    <w:rsid w:val="001A781A"/>
    <w:rsid w:val="001B1BA6"/>
    <w:rsid w:val="001D7A52"/>
    <w:rsid w:val="001E08FC"/>
    <w:rsid w:val="001E775C"/>
    <w:rsid w:val="002048AD"/>
    <w:rsid w:val="002114F4"/>
    <w:rsid w:val="00242710"/>
    <w:rsid w:val="0024546B"/>
    <w:rsid w:val="00247644"/>
    <w:rsid w:val="00254526"/>
    <w:rsid w:val="0025522F"/>
    <w:rsid w:val="00265F1B"/>
    <w:rsid w:val="00271EF4"/>
    <w:rsid w:val="00282988"/>
    <w:rsid w:val="002848D1"/>
    <w:rsid w:val="002872F7"/>
    <w:rsid w:val="002D1D8F"/>
    <w:rsid w:val="002F2F7A"/>
    <w:rsid w:val="00300663"/>
    <w:rsid w:val="00301A18"/>
    <w:rsid w:val="00313B47"/>
    <w:rsid w:val="003304AF"/>
    <w:rsid w:val="00340108"/>
    <w:rsid w:val="003424E3"/>
    <w:rsid w:val="00350057"/>
    <w:rsid w:val="003D0AE5"/>
    <w:rsid w:val="0043007E"/>
    <w:rsid w:val="00436787"/>
    <w:rsid w:val="0044760B"/>
    <w:rsid w:val="00450042"/>
    <w:rsid w:val="004B45C1"/>
    <w:rsid w:val="004C3C10"/>
    <w:rsid w:val="004D69C4"/>
    <w:rsid w:val="004E541B"/>
    <w:rsid w:val="004F3BD4"/>
    <w:rsid w:val="00501D9A"/>
    <w:rsid w:val="005171D7"/>
    <w:rsid w:val="0052533C"/>
    <w:rsid w:val="00550F49"/>
    <w:rsid w:val="00557683"/>
    <w:rsid w:val="005719E8"/>
    <w:rsid w:val="00575D70"/>
    <w:rsid w:val="005767D8"/>
    <w:rsid w:val="005B5322"/>
    <w:rsid w:val="005B7966"/>
    <w:rsid w:val="005C20F9"/>
    <w:rsid w:val="005F7495"/>
    <w:rsid w:val="00600D93"/>
    <w:rsid w:val="006128EE"/>
    <w:rsid w:val="00613415"/>
    <w:rsid w:val="00616BFC"/>
    <w:rsid w:val="006405BD"/>
    <w:rsid w:val="00645C06"/>
    <w:rsid w:val="00671BFE"/>
    <w:rsid w:val="00673B5F"/>
    <w:rsid w:val="00673E53"/>
    <w:rsid w:val="00682BA9"/>
    <w:rsid w:val="006867D1"/>
    <w:rsid w:val="00697E04"/>
    <w:rsid w:val="006A4C5F"/>
    <w:rsid w:val="006B32B9"/>
    <w:rsid w:val="006B50E2"/>
    <w:rsid w:val="006D7D1E"/>
    <w:rsid w:val="006F3D90"/>
    <w:rsid w:val="00700B3A"/>
    <w:rsid w:val="00703A26"/>
    <w:rsid w:val="007214DD"/>
    <w:rsid w:val="007458FD"/>
    <w:rsid w:val="00746BB7"/>
    <w:rsid w:val="0076278C"/>
    <w:rsid w:val="00762D7B"/>
    <w:rsid w:val="00781FCE"/>
    <w:rsid w:val="007B7401"/>
    <w:rsid w:val="007C131E"/>
    <w:rsid w:val="00821A4E"/>
    <w:rsid w:val="00823848"/>
    <w:rsid w:val="00833781"/>
    <w:rsid w:val="008360E2"/>
    <w:rsid w:val="00850E29"/>
    <w:rsid w:val="00896882"/>
    <w:rsid w:val="008B4F58"/>
    <w:rsid w:val="008B7770"/>
    <w:rsid w:val="008C3628"/>
    <w:rsid w:val="008C4824"/>
    <w:rsid w:val="008E3148"/>
    <w:rsid w:val="008E5F7E"/>
    <w:rsid w:val="00903DC5"/>
    <w:rsid w:val="0093168D"/>
    <w:rsid w:val="009363C5"/>
    <w:rsid w:val="00975D24"/>
    <w:rsid w:val="00986E6A"/>
    <w:rsid w:val="00990602"/>
    <w:rsid w:val="009978EE"/>
    <w:rsid w:val="009E5429"/>
    <w:rsid w:val="009E6015"/>
    <w:rsid w:val="00A24CC7"/>
    <w:rsid w:val="00A26574"/>
    <w:rsid w:val="00A3287B"/>
    <w:rsid w:val="00A423A1"/>
    <w:rsid w:val="00A70673"/>
    <w:rsid w:val="00A75682"/>
    <w:rsid w:val="00A8455F"/>
    <w:rsid w:val="00AC3455"/>
    <w:rsid w:val="00AD2687"/>
    <w:rsid w:val="00AD277B"/>
    <w:rsid w:val="00AE0ED6"/>
    <w:rsid w:val="00AE1FD7"/>
    <w:rsid w:val="00AF1604"/>
    <w:rsid w:val="00B02FC5"/>
    <w:rsid w:val="00B0478F"/>
    <w:rsid w:val="00B16BE2"/>
    <w:rsid w:val="00B337B5"/>
    <w:rsid w:val="00B47A72"/>
    <w:rsid w:val="00B52332"/>
    <w:rsid w:val="00B65FC0"/>
    <w:rsid w:val="00B964EA"/>
    <w:rsid w:val="00BA109F"/>
    <w:rsid w:val="00BA4544"/>
    <w:rsid w:val="00BB5557"/>
    <w:rsid w:val="00BC2A01"/>
    <w:rsid w:val="00BC5AF7"/>
    <w:rsid w:val="00C23909"/>
    <w:rsid w:val="00C33756"/>
    <w:rsid w:val="00C51133"/>
    <w:rsid w:val="00C6528E"/>
    <w:rsid w:val="00C721BD"/>
    <w:rsid w:val="00C7332A"/>
    <w:rsid w:val="00C96DED"/>
    <w:rsid w:val="00CA7807"/>
    <w:rsid w:val="00CD2E13"/>
    <w:rsid w:val="00CE049C"/>
    <w:rsid w:val="00CF0C3B"/>
    <w:rsid w:val="00CF3E74"/>
    <w:rsid w:val="00CF6BCC"/>
    <w:rsid w:val="00D13BBC"/>
    <w:rsid w:val="00D36A0D"/>
    <w:rsid w:val="00D40F9C"/>
    <w:rsid w:val="00D72D3D"/>
    <w:rsid w:val="00D9044C"/>
    <w:rsid w:val="00DD2849"/>
    <w:rsid w:val="00DD5B00"/>
    <w:rsid w:val="00DE19AF"/>
    <w:rsid w:val="00E31378"/>
    <w:rsid w:val="00E33DE4"/>
    <w:rsid w:val="00E428B9"/>
    <w:rsid w:val="00E42B44"/>
    <w:rsid w:val="00E54D29"/>
    <w:rsid w:val="00E559AA"/>
    <w:rsid w:val="00E65491"/>
    <w:rsid w:val="00E7138B"/>
    <w:rsid w:val="00E71FE2"/>
    <w:rsid w:val="00E82C8F"/>
    <w:rsid w:val="00E84A7C"/>
    <w:rsid w:val="00E93D73"/>
    <w:rsid w:val="00EA6A4A"/>
    <w:rsid w:val="00EF4329"/>
    <w:rsid w:val="00EF51FE"/>
    <w:rsid w:val="00F04113"/>
    <w:rsid w:val="00F04438"/>
    <w:rsid w:val="00F35C23"/>
    <w:rsid w:val="00F44782"/>
    <w:rsid w:val="00F460B9"/>
    <w:rsid w:val="00F505E9"/>
    <w:rsid w:val="00F50F13"/>
    <w:rsid w:val="00F53F11"/>
    <w:rsid w:val="00F56205"/>
    <w:rsid w:val="00F735B0"/>
    <w:rsid w:val="00F74B30"/>
    <w:rsid w:val="00F817B1"/>
    <w:rsid w:val="00F84812"/>
    <w:rsid w:val="00F8541C"/>
    <w:rsid w:val="00F93D88"/>
    <w:rsid w:val="00FA4D70"/>
    <w:rsid w:val="00FB4A9A"/>
    <w:rsid w:val="00FE19BC"/>
    <w:rsid w:val="00F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9B77E1-EB53-44E7-8BA8-D4EEB9795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7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3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8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6D7D1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6D7D1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BB5557"/>
    <w:pPr>
      <w:tabs>
        <w:tab w:val="right" w:leader="dot" w:pos="9345"/>
      </w:tabs>
      <w:spacing w:after="100" w:line="240" w:lineRule="auto"/>
      <w:ind w:left="440"/>
    </w:pPr>
  </w:style>
  <w:style w:type="paragraph" w:styleId="a3">
    <w:name w:val="TOC Heading"/>
    <w:basedOn w:val="1"/>
    <w:next w:val="a"/>
    <w:uiPriority w:val="39"/>
    <w:unhideWhenUsed/>
    <w:qFormat/>
    <w:rsid w:val="006D7D1E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AE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ED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23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gyprlnk">
    <w:name w:val="f_gyprlnk"/>
    <w:basedOn w:val="a0"/>
    <w:rsid w:val="00271EF4"/>
  </w:style>
  <w:style w:type="character" w:styleId="a7">
    <w:name w:val="Hyperlink"/>
    <w:basedOn w:val="a0"/>
    <w:uiPriority w:val="99"/>
    <w:unhideWhenUsed/>
    <w:rsid w:val="00271EF4"/>
    <w:rPr>
      <w:color w:val="0000FF"/>
      <w:u w:val="single"/>
    </w:rPr>
  </w:style>
  <w:style w:type="paragraph" w:customStyle="1" w:styleId="pgyprlnk">
    <w:name w:val="p_gyprlnk"/>
    <w:basedOn w:val="a"/>
    <w:rsid w:val="00271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23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238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header"/>
    <w:basedOn w:val="a"/>
    <w:link w:val="a9"/>
    <w:uiPriority w:val="99"/>
    <w:semiHidden/>
    <w:unhideWhenUsed/>
    <w:rsid w:val="006F3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F3D90"/>
  </w:style>
  <w:style w:type="paragraph" w:styleId="aa">
    <w:name w:val="footer"/>
    <w:basedOn w:val="a"/>
    <w:link w:val="ab"/>
    <w:uiPriority w:val="99"/>
    <w:unhideWhenUsed/>
    <w:rsid w:val="006F3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F3D90"/>
  </w:style>
  <w:style w:type="paragraph" w:styleId="ac">
    <w:name w:val="List Paragraph"/>
    <w:basedOn w:val="a"/>
    <w:uiPriority w:val="34"/>
    <w:qFormat/>
    <w:rsid w:val="0025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8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AE31A-A093-40ED-97BA-E5394377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1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keysystems</Company>
  <LinksUpToDate>false</LinksUpToDate>
  <CharactersWithSpaces>7778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Буторова Дарья Владимировна</dc:creator>
  <cp:lastModifiedBy>Буторова Дарья Владимировна</cp:lastModifiedBy>
  <cp:revision>33</cp:revision>
  <dcterms:created xsi:type="dcterms:W3CDTF">2015-04-13T07:25:00Z</dcterms:created>
  <dcterms:modified xsi:type="dcterms:W3CDTF">2015-06-15T06:42:00Z</dcterms:modified>
</cp:coreProperties>
</file>